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jc w:val="both"/>
        <w:rPr>
          <w:rFonts w:hint="eastAsia" w:ascii="宋体" w:hAnsi="宋体" w:eastAsia="宋体" w:cs="宋体"/>
          <w:b/>
          <w:caps/>
          <w:sz w:val="24"/>
          <w:szCs w:val="2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rPr>
          <w:rFonts w:hint="eastAsia" w:ascii="宋体" w:hAnsi="宋体" w:eastAsia="宋体" w:cs="宋体"/>
          <w:b/>
          <w:caps/>
          <w:sz w:val="24"/>
          <w:szCs w:val="24"/>
          <w:lang w:val="en-US" w:eastAsia="zh-CN"/>
        </w:rPr>
      </w:pP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r>
        <w:rPr>
          <w:rFonts w:hint="eastAsia" w:ascii="宋体" w:hAnsi="宋体" w:eastAsia="宋体" w:cs="宋体"/>
          <w:b/>
          <w:caps/>
          <w:sz w:val="52"/>
          <w:szCs w:val="52"/>
          <w:lang w:val="en-US" w:eastAsia="zh-CN"/>
        </w:rPr>
        <w:t>运动智能手表</w:t>
      </w:r>
      <w:bookmarkStart w:id="1" w:name="_GoBack"/>
      <w:bookmarkEnd w:id="1"/>
    </w:p>
    <w:p>
      <w:pPr>
        <w:rPr>
          <w:rFonts w:ascii="宋体" w:hAnsi="宋体" w:eastAsia="宋体" w:cs="宋体"/>
          <w:b/>
        </w:rPr>
      </w:pPr>
    </w:p>
    <w:p>
      <w:pPr>
        <w:pStyle w:val="9"/>
        <w:spacing w:before="0" w:after="0" w:line="0" w:lineRule="atLeast"/>
        <w:ind w:firstLine="2060"/>
        <w:jc w:val="left"/>
        <w:rPr>
          <w:rFonts w:hint="eastAsia" w:ascii="宋体" w:hAnsi="宋体" w:eastAsia="宋体" w:cs="宋体"/>
          <w:b w:val="0"/>
          <w:caps/>
          <w:sz w:val="44"/>
          <w:szCs w:val="44"/>
          <w:lang w:eastAsia="zh-CN"/>
        </w:rPr>
      </w:pPr>
      <w:r>
        <w:rPr>
          <w:rFonts w:hint="eastAsia" w:ascii="宋体" w:hAnsi="宋体" w:eastAsia="宋体" w:cs="宋体"/>
          <w:sz w:val="52"/>
          <w:szCs w:val="52"/>
          <w:lang w:bidi="zh-CN"/>
        </w:rPr>
        <w:t xml:space="preserve">   </w:t>
      </w:r>
      <w:r>
        <w:rPr>
          <w:rFonts w:hint="eastAsia" w:ascii="宋体" w:hAnsi="宋体" w:eastAsia="宋体" w:cs="宋体"/>
          <w:b w:val="0"/>
          <w:caps/>
          <w:sz w:val="44"/>
          <w:szCs w:val="44"/>
          <w:lang w:eastAsia="zh-CN"/>
        </w:rPr>
        <w:t>用户使用手册</w:t>
      </w:r>
    </w:p>
    <w:p>
      <w:pPr>
        <w:rPr>
          <w:rFonts w:hint="eastAsia"/>
          <w:sz w:val="44"/>
          <w:szCs w:val="44"/>
        </w:rPr>
      </w:pPr>
    </w:p>
    <w:p>
      <w:pPr>
        <w:spacing w:line="0" w:lineRule="atLeast"/>
        <w:ind w:firstLine="100"/>
        <w:jc w:val="center"/>
        <w:rPr>
          <w:rFonts w:hint="eastAsia" w:ascii="宋体" w:hAnsi="宋体" w:eastAsia="宋体" w:cs="宋体"/>
          <w:b/>
          <w:caps/>
          <w:sz w:val="32"/>
          <w:szCs w:val="32"/>
          <w:lang w:eastAsia="zh-CN"/>
        </w:rPr>
      </w:pPr>
      <w:r>
        <w:rPr>
          <w:rFonts w:hint="eastAsia" w:ascii="宋体" w:hAnsi="宋体" w:eastAsia="宋体" w:cs="宋体"/>
          <w:b/>
          <w:caps/>
          <w:sz w:val="32"/>
          <w:szCs w:val="32"/>
          <w:lang w:eastAsia="zh-CN"/>
        </w:rPr>
        <w:drawing>
          <wp:inline distT="0" distB="0" distL="114300" distR="114300">
            <wp:extent cx="4145915" cy="3561715"/>
            <wp:effectExtent l="0" t="0" r="0" b="0"/>
            <wp:docPr id="1" name="图片 1" descr="C:\Users\32961\Desktop\说明书\DT7+\DT7+按键+1.pngDT7+按键+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32961\Desktop\说明书\DT7+\DT7+按键+1.pngDT7+按键+1"/>
                    <pic:cNvPicPr>
                      <a:picLocks noChangeAspect="1"/>
                    </pic:cNvPicPr>
                  </pic:nvPicPr>
                  <pic:blipFill>
                    <a:blip r:embed="rId4"/>
                    <a:srcRect/>
                    <a:stretch>
                      <a:fillRect/>
                    </a:stretch>
                  </pic:blipFill>
                  <pic:spPr>
                    <a:xfrm>
                      <a:off x="0" y="0"/>
                      <a:ext cx="4145915" cy="3561715"/>
                    </a:xfrm>
                    <a:prstGeom prst="rect">
                      <a:avLst/>
                    </a:prstGeom>
                  </pic:spPr>
                </pic:pic>
              </a:graphicData>
            </a:graphic>
          </wp:inline>
        </w:drawing>
      </w:r>
    </w:p>
    <w:p>
      <w:pPr>
        <w:spacing w:line="0" w:lineRule="atLeast"/>
        <w:ind w:firstLine="100"/>
        <w:jc w:val="left"/>
        <w:rPr>
          <w:rFonts w:hint="default" w:ascii="宋体" w:hAnsi="宋体" w:eastAsia="宋体" w:cs="宋体"/>
          <w:b/>
          <w:caps/>
          <w:sz w:val="32"/>
          <w:szCs w:val="32"/>
          <w:lang w:val="en-US" w:eastAsia="zh-CN"/>
        </w:rPr>
      </w:pPr>
      <w:r>
        <w:rPr>
          <w:rFonts w:hint="eastAsia" w:ascii="宋体" w:hAnsi="宋体" w:eastAsia="宋体" w:cs="宋体"/>
          <w:b/>
          <w:caps/>
          <w:sz w:val="32"/>
          <w:szCs w:val="32"/>
          <w:lang w:val="en-US" w:eastAsia="zh-CN"/>
        </w:rPr>
        <w:t xml:space="preserve">                    </w:t>
      </w:r>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spacing w:line="0" w:lineRule="atLeast"/>
        <w:jc w:val="left"/>
        <w:rPr>
          <w:rFonts w:hint="eastAsia" w:ascii="宋体" w:hAnsi="宋体" w:eastAsia="宋体" w:cs="宋体"/>
          <w:b/>
          <w:sz w:val="32"/>
          <w:szCs w:val="32"/>
        </w:rPr>
      </w:pPr>
      <w:r>
        <w:rPr>
          <w:rFonts w:hint="eastAsia" w:ascii="宋体" w:hAnsi="宋体" w:eastAsia="宋体" w:cs="宋体"/>
          <w:b/>
          <w:caps/>
          <w:sz w:val="32"/>
          <w:szCs w:val="32"/>
        </w:rP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4"/>
          <w:szCs w:val="24"/>
          <w:lang w:val="en-US" w:eastAsia="zh-CN"/>
        </w:rPr>
      </w:pPr>
      <w:r>
        <w:rPr>
          <w:rFonts w:hint="eastAsia" w:ascii="宋体" w:hAnsi="宋体" w:eastAsia="宋体" w:cs="宋体"/>
          <w:color w:val="000000" w:themeColor="text1"/>
          <w:sz w:val="24"/>
          <w:szCs w:val="24"/>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1"/>
        </w:numPr>
        <w:spacing w:line="360" w:lineRule="auto"/>
        <w:ind w:left="0" w:right="0" w:firstLine="0"/>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20"/>
          <w:szCs w:val="20"/>
        </w:rPr>
      </w:pPr>
      <w:r>
        <w:rPr>
          <w:rFonts w:hint="eastAsia" w:ascii="宋体" w:hAnsi="宋体" w:eastAsia="宋体" w:cs="宋体"/>
          <w:b w:val="0"/>
          <w:color w:val="00B0F0"/>
          <w:sz w:val="24"/>
          <w:szCs w:val="24"/>
          <w:lang w:val="en-US" w:eastAsia="zh-CN"/>
        </w:rPr>
        <w:t xml:space="preserve">               </w:t>
      </w:r>
      <w:r>
        <w:rPr>
          <w:sz w:val="20"/>
        </w:rPr>
        <w:drawing>
          <wp:inline distT="0" distB="0" distL="0" distR="0">
            <wp:extent cx="2128520" cy="2393950"/>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129155" cy="2394585"/>
                    </a:xfrm>
                    <a:prstGeom prst="rect">
                      <a:avLst/>
                    </a:prstGeom>
                    <a:ln cap="flat"/>
                  </pic:spPr>
                </pic:pic>
              </a:graphicData>
            </a:graphic>
          </wp:inline>
        </w:drawing>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1）在表盘界面短按进入菜单风格界面，在菜单风格界面短按退出；</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2）在菜单风格界面，连续短按二次，切换菜单风格；</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3）在进入二级界面或三级界面时，短按功能为一级一级退出功能；</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4）长按开关机，选择X不关机，选择√关机。</w:t>
      </w:r>
    </w:p>
    <w:p>
      <w:pPr>
        <w:pStyle w:val="16"/>
        <w:numPr>
          <w:ilvl w:val="0"/>
          <w:numId w:val="0"/>
        </w:numPr>
        <w:spacing w:line="360" w:lineRule="auto"/>
        <w:ind w:left="0" w:right="0" w:firstLine="240"/>
        <w:jc w:val="left"/>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5）在表盘界面或菜单界面，旋转按键，可切换不同的表盘和菜单上下翻页。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1"/>
          <w:szCs w:val="21"/>
          <w:lang w:bidi="zh-CN"/>
        </w:rPr>
      </w:pPr>
      <w:r>
        <w:rPr>
          <w:rFonts w:hint="eastAsia" w:ascii="宋体" w:hAnsi="宋体" w:eastAsia="宋体" w:cs="宋体"/>
          <w:b w:val="0"/>
          <w:sz w:val="21"/>
          <w:szCs w:val="21"/>
          <w:lang w:val="en-US" w:eastAsia="zh-CN"/>
        </w:rPr>
        <w:t>无线</w:t>
      </w:r>
      <w:r>
        <w:rPr>
          <w:rFonts w:hint="eastAsia" w:ascii="宋体" w:hAnsi="宋体" w:eastAsia="宋体" w:cs="宋体"/>
          <w:b w:val="0"/>
          <w:sz w:val="21"/>
          <w:szCs w:val="21"/>
        </w:rPr>
        <w:t>充电，如下图所示。</w:t>
      </w:r>
      <w:r>
        <w:rPr>
          <w:rFonts w:hint="eastAsia" w:ascii="宋体" w:hAnsi="宋体" w:eastAsia="宋体" w:cs="宋体"/>
          <w:b/>
          <w:sz w:val="21"/>
          <w:szCs w:val="21"/>
        </w:rPr>
        <w:t xml:space="preserve"> </w:t>
      </w: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707005" cy="2707005"/>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707640" cy="2707640"/>
                    </a:xfrm>
                    <a:prstGeom prst="rect">
                      <a:avLst/>
                    </a:prstGeom>
                    <a:ln cap="flat"/>
                  </pic:spPr>
                </pic:pic>
              </a:graphicData>
            </a:graphic>
          </wp:inline>
        </w:drawing>
      </w: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往左滑显示“+”图标，点击图标可添加部分的菜单作为快捷功能。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往下滑显示，蓝牙连接状态，时间，电量，勿扰模式，亮度调节等功能。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往右滑显示，时间/日期/星期，显示最新一条消息（进入可查看多条消息）/打开或关闭通话蓝牙以及显示最近使用的部分菜单功能。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往上滑进入菜单界面，上下滑动，可查找相对应的功能。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长按表盘界面可滑动切换表盘，选中后轻触即可设置成功。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3"/>
        </w:numPr>
        <w:spacing w:line="360" w:lineRule="auto"/>
        <w:ind w:left="640" w:leftChars="0" w:hanging="425"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3"/>
        </w:numPr>
        <w:spacing w:line="360" w:lineRule="auto"/>
        <w:ind w:left="640" w:leftChars="0" w:hanging="425"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蓝牙连接状态；时间显示，电量显示；</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第一个图标，关于；可查看版本与蓝牙地址；</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第二个图标，勿扰模式，开启只针对消息类的信息勿扰，不针对电话类的音频勿扰；</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第三个图标，可调试亮度调节；</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第四个图标，可控制手机音乐（连接APP使用）。</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下拉新增捷径</w:t>
      </w:r>
    </w:p>
    <w:p>
      <w:pPr>
        <w:pStyle w:val="16"/>
        <w:numPr>
          <w:ilvl w:val="0"/>
          <w:numId w:val="0"/>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下拉半屏新增第二页（下拉后，左右滑动），新增捷径功能：</w:t>
      </w:r>
    </w:p>
    <w:p>
      <w:pPr>
        <w:pStyle w:val="16"/>
        <w:numPr>
          <w:ilvl w:val="0"/>
          <w:numId w:val="0"/>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GPS/模式选择/省电模式/闹钟/手电筒/语音助手（省电模式下，亮度显示会稍有不同）</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pPr>
        <w:rPr>
          <w:rFonts w:hint="eastAsia"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健身数据默认开启，进入健身数据界面，从下往上滑，显示手表当前的步数、距离、热量，每天凌晨12点数据清零。</w:t>
      </w:r>
    </w:p>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1.8智能模式选择</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当手表切换到手表模式时，手表会断开蓝牙连接，手表即可独立使用，使之达到更省电。</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当手表切换回智能模式时，手表即可连接手机上的APP，进行更多智能操作。</w:t>
      </w:r>
    </w:p>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 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（健走、跑步、骑行、跳绳、羽毛球、篮球、足球等等）</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1.9.1选择对应的运动模式，点击屏幕上的开始按钮进入对应的运动模式；正在计算运动的开始按钮点击后可暂停运动，点击结束按钮，结束运动并保存数据。</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1.9.2运动时间大于1分钟时可以保存运动数据；少于此条件结束运动保存时会提示“数据太少，无法保存”。</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1.9.3 新增更多运动模式可供选择，健身房，瑜伽，室内跑，自由训练 </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1.9.4 新增GPS轨迹。当APP 进入到运动功能时，手表会同时进入GPS运动；运动结束后，手机APP的GPS运动轨迹(等数据)会同步到手表，方便用户查看。</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1.11心电</w:t>
      </w:r>
    </w:p>
    <w:p>
      <w:pPr>
        <w:pStyle w:val="16"/>
        <w:numPr>
          <w:ilvl w:val="0"/>
          <w:numId w:val="0"/>
        </w:numPr>
        <w:spacing w:line="360" w:lineRule="auto"/>
        <w:ind w:left="0" w:right="0" w:firstLine="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1.12 血氧</w:t>
      </w:r>
    </w:p>
    <w:p>
      <w:pPr>
        <w:pStyle w:val="16"/>
        <w:numPr>
          <w:ilvl w:val="0"/>
          <w:numId w:val="0"/>
        </w:numPr>
        <w:spacing w:line="360" w:lineRule="auto"/>
        <w:ind w:left="0" w:right="0" w:firstLine="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将手表正确佩戴于手腕，进入血氧菜单，可测量单次血氧值。</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1.13 </w:t>
      </w:r>
      <w:r>
        <w:rPr>
          <w:rFonts w:hint="default" w:ascii="宋体" w:hAnsi="宋体" w:eastAsia="宋体" w:cs="宋体"/>
          <w:b/>
          <w:color w:val="000000" w:themeColor="text1"/>
          <w:sz w:val="24"/>
          <w:szCs w:val="24"/>
          <w:lang w:val="en-US" w:eastAsia="zh-CN"/>
          <w14:textFill>
            <w14:solidFill>
              <w14:schemeClr w14:val="tx1"/>
            </w14:solidFill>
          </w14:textFill>
        </w:rPr>
        <w:t>血压</w:t>
      </w:r>
    </w:p>
    <w:p>
      <w:pPr>
        <w:pStyle w:val="16"/>
        <w:numPr>
          <w:ilvl w:val="0"/>
          <w:numId w:val="0"/>
        </w:numPr>
        <w:spacing w:line="360" w:lineRule="auto"/>
        <w:ind w:left="0" w:right="0" w:firstLine="0"/>
        <w:jc w:val="both"/>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t>将手表正确佩戴于手腕，进入血压菜单，可测量单次血压值。</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2.0</w:t>
      </w:r>
      <w:r>
        <w:rPr>
          <w:rFonts w:hint="eastAsia" w:ascii="宋体" w:hAnsi="宋体" w:eastAsia="宋体" w:cs="宋体"/>
          <w:b/>
          <w:color w:val="000000" w:themeColor="text1"/>
          <w:sz w:val="24"/>
          <w:szCs w:val="24"/>
          <w:lang w:val="en-US" w:eastAsia="zh-CN"/>
          <w14:textFill>
            <w14:solidFill>
              <w14:schemeClr w14:val="tx1"/>
            </w14:solidFill>
          </w14:textFill>
        </w:rPr>
        <w:t xml:space="preserve"> </w:t>
      </w:r>
      <w:r>
        <w:rPr>
          <w:rFonts w:hint="eastAsia" w:ascii="宋体" w:hAnsi="宋体" w:eastAsia="宋体" w:cs="宋体"/>
          <w:b/>
          <w:color w:val="000000" w:themeColor="text1"/>
          <w:sz w:val="24"/>
          <w:szCs w:val="24"/>
          <w:lang w:eastAsia="zh-CN"/>
          <w14:textFill>
            <w14:solidFill>
              <w14:schemeClr w14:val="tx1"/>
            </w14:solidFill>
          </w14:textFill>
        </w:rPr>
        <w:t>我的二维码</w:t>
      </w:r>
    </w:p>
    <w:p>
      <w:pPr>
        <w:pStyle w:val="13"/>
        <w:rPr>
          <w:rFonts w:ascii="宋体" w:hAnsi="宋体" w:eastAsia="宋体" w:cs="宋体"/>
        </w:rPr>
      </w:pPr>
      <w:r>
        <w:rPr>
          <w:rFonts w:ascii="宋体" w:hAnsi="宋体" w:eastAsia="宋体" w:cs="宋体"/>
        </w:rPr>
        <w:t>手表连接APP,在APP界面，找到我的二维码，可选择，微信/QQ/支付宝等其他“收款二维码”，进行保存（具体方法根据APP指示操作）。</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2.1 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点击手表端的气象，显示当天的紫外线(UV)、气压等状况。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2.9按摩器</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2.10 时间设置</w:t>
      </w:r>
    </w:p>
    <w:p>
      <w:pPr>
        <w:rPr>
          <w:rFonts w:hint="eastAsia"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脱离手机APP，单独于手表上设置时间功能。</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2.11 语音助手</w:t>
      </w:r>
    </w:p>
    <w:p>
      <w:pPr>
        <w:rPr>
          <w:rFonts w:hint="default"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连接音频蓝牙之后，可以唤醒手机的语言助手(例如苹果手机是Siri, 安卓手机是语言助手)</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2.12 手电筒</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点击手电筒，手表屏幕会全亮以达到照明效果。</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3.0女性助手</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记录女性的月经期的状况，可在App端查看最近一次月结时间、经期长度、经期间隔天数的数据。</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3.2菜单风格</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12" w:lineRule="auto"/>
        <w:rPr>
          <w:rFonts w:ascii="Calibri" w:hAnsi="宋体" w:eastAsia="宋体" w:cs="宋体"/>
          <w:b/>
          <w:color w:val="auto"/>
          <w:sz w:val="28"/>
          <w:szCs w:val="28"/>
        </w:rPr>
      </w:pPr>
      <w:r>
        <w:rPr>
          <w:rFonts w:hint="eastAsia" w:ascii="宋体" w:hAnsi="宋体" w:eastAsia="宋体" w:cs="宋体"/>
          <w:b/>
          <w:color w:val="000000" w:themeColor="text1"/>
          <w:sz w:val="24"/>
          <w:szCs w:val="24"/>
          <w:lang w:eastAsia="zh-CN"/>
          <w14:textFill>
            <w14:solidFill>
              <w14:schemeClr w14:val="tx1"/>
            </w14:solidFill>
          </w14:textFill>
        </w:rPr>
        <w:t>二．</w:t>
      </w:r>
      <w:r>
        <w:rPr>
          <w:rFonts w:ascii="Calibri" w:hAnsi="宋体" w:eastAsia="宋体" w:cs="宋体"/>
          <w:b/>
          <w:color w:val="auto"/>
          <w:sz w:val="28"/>
          <w:szCs w:val="28"/>
        </w:rPr>
        <w:t>绑定APP</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1. APP下载方法</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1.1 扫描二维码下载</w:t>
      </w:r>
    </w:p>
    <w:p>
      <w:pPr>
        <w:spacing w:line="312" w:lineRule="auto"/>
        <w:rPr>
          <w:rFonts w:ascii="Calibri" w:hAnsi="宋体" w:eastAsia="宋体" w:cs="宋体"/>
          <w:color w:val="auto"/>
          <w:sz w:val="21"/>
          <w:szCs w:val="21"/>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spacing w:line="312" w:lineRule="auto"/>
        <w:rPr>
          <w:rFonts w:ascii="宋体" w:hAnsi="宋体" w:eastAsia="宋体" w:cs="宋体"/>
          <w:sz w:val="21"/>
          <w:szCs w:val="21"/>
        </w:rPr>
      </w:pPr>
      <w:r>
        <w:rPr>
          <w:rFonts w:ascii="Calibri" w:hAnsi="宋体" w:eastAsia="宋体" w:cs="宋体"/>
          <w:color w:val="auto"/>
          <w:sz w:val="21"/>
          <w:szCs w:val="21"/>
        </w:rPr>
        <w:t xml:space="preserve">1.2 </w:t>
      </w:r>
      <w:r>
        <w:rPr>
          <w:rFonts w:ascii="宋体" w:hAnsi="宋体" w:eastAsia="宋体" w:cs="宋体"/>
          <w:sz w:val="21"/>
          <w:szCs w:val="21"/>
        </w:rPr>
        <w:t>安卓端：</w:t>
      </w:r>
    </w:p>
    <w:p>
      <w:pPr>
        <w:jc w:val="both"/>
        <w:rPr>
          <w:rFonts w:ascii="Calibri" w:hAnsi="宋体" w:eastAsia="宋体" w:cs="宋体"/>
          <w:color w:val="auto"/>
          <w:sz w:val="21"/>
          <w:szCs w:val="21"/>
        </w:rPr>
      </w:pPr>
      <w:r>
        <w:rPr>
          <w:rFonts w:ascii="宋体" w:hAnsi="宋体" w:eastAsia="宋体" w:cs="宋体"/>
          <w:sz w:val="21"/>
          <w:szCs w:val="21"/>
        </w:rPr>
        <w:t>应用宝、谷歌play应用市场搜索 Wear</w:t>
      </w:r>
      <w:r>
        <w:rPr>
          <w:rFonts w:ascii="宋体" w:hAnsi="宋体" w:eastAsia="宋体" w:cs="宋体"/>
          <w:color w:val="000000" w:themeColor="text1"/>
          <w:sz w:val="21"/>
          <w:szCs w:val="21"/>
          <w14:textFill>
            <w14:solidFill>
              <w14:schemeClr w14:val="tx1"/>
            </w14:solidFill>
          </w14:textFill>
        </w:rPr>
        <w:t>Pro进行下载，</w:t>
      </w:r>
      <w:r>
        <w:rPr>
          <w:rFonts w:ascii="Calibri" w:hAnsi="宋体" w:eastAsia="宋体" w:cs="宋体"/>
          <w:color w:val="auto"/>
          <w:sz w:val="21"/>
          <w:szCs w:val="21"/>
        </w:rPr>
        <w:t>安装时注意查看手机弹框同意各权限；</w:t>
      </w:r>
    </w:p>
    <w:p>
      <w:pPr>
        <w:spacing w:line="312" w:lineRule="auto"/>
        <w:rPr>
          <w:rFonts w:ascii="宋体" w:hAnsi="宋体" w:eastAsia="宋体" w:cs="宋体"/>
          <w:color w:val="000000" w:themeColor="text1"/>
          <w:sz w:val="21"/>
          <w:szCs w:val="21"/>
          <w14:textFill>
            <w14:solidFill>
              <w14:schemeClr w14:val="tx1"/>
            </w14:solidFill>
          </w14:textFill>
        </w:rPr>
      </w:pPr>
      <w:r>
        <w:rPr>
          <w:rFonts w:ascii="Calibri" w:hAnsi="宋体" w:eastAsia="宋体" w:cs="宋体"/>
          <w:color w:val="auto"/>
          <w:sz w:val="21"/>
          <w:szCs w:val="21"/>
        </w:rPr>
        <w:t xml:space="preserve">1.3 </w:t>
      </w:r>
      <w:r>
        <w:rPr>
          <w:rFonts w:ascii="宋体" w:hAnsi="宋体" w:eastAsia="宋体" w:cs="宋体"/>
          <w:color w:val="000000" w:themeColor="text1"/>
          <w:sz w:val="21"/>
          <w:szCs w:val="21"/>
          <w14:textFill>
            <w14:solidFill>
              <w14:schemeClr w14:val="tx1"/>
            </w14:solidFill>
          </w14:textFill>
        </w:rPr>
        <w:t>IOS端：</w:t>
      </w:r>
    </w:p>
    <w:p>
      <w:pPr>
        <w:jc w:val="both"/>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 xml:space="preserve">在APP Store中搜索 </w:t>
      </w:r>
      <w:r>
        <w:rPr>
          <w:rFonts w:ascii="宋体" w:hAnsi="宋体" w:eastAsia="宋体" w:cs="宋体"/>
          <w:sz w:val="21"/>
          <w:szCs w:val="21"/>
        </w:rPr>
        <w:t>Wear</w:t>
      </w:r>
      <w:r>
        <w:rPr>
          <w:rFonts w:ascii="宋体" w:hAnsi="宋体" w:eastAsia="宋体" w:cs="宋体"/>
          <w:color w:val="000000" w:themeColor="text1"/>
          <w:sz w:val="21"/>
          <w:szCs w:val="21"/>
          <w14:textFill>
            <w14:solidFill>
              <w14:schemeClr w14:val="tx1"/>
            </w14:solidFill>
          </w14:textFill>
        </w:rPr>
        <w:t>Pro 下载，</w:t>
      </w:r>
      <w:r>
        <w:rPr>
          <w:rFonts w:ascii="Calibri" w:hAnsi="宋体" w:eastAsia="宋体" w:cs="宋体"/>
          <w:color w:val="auto"/>
          <w:sz w:val="21"/>
          <w:szCs w:val="21"/>
        </w:rPr>
        <w:t>安装时注意查看手机弹框同意各权限；</w:t>
      </w:r>
    </w:p>
    <w:p>
      <w:pPr>
        <w:jc w:val="both"/>
        <w:rPr>
          <w:rFonts w:ascii="Calibri" w:hAnsi="宋体" w:eastAsia="宋体" w:cs="宋体"/>
          <w:color w:val="auto"/>
          <w:sz w:val="21"/>
          <w:szCs w:val="21"/>
        </w:rPr>
      </w:pPr>
      <w:r>
        <w:rPr>
          <w:rFonts w:ascii="Calibri" w:hAnsi="宋体" w:eastAsia="宋体" w:cs="宋体"/>
          <w:color w:val="auto"/>
          <w:sz w:val="21"/>
          <w:szCs w:val="21"/>
        </w:rPr>
        <w:t>WearPro安装完成应用图标如图：</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jc w:val="both"/>
        <w:rPr>
          <w:rFonts w:ascii="Calibri" w:hAnsi="宋体" w:eastAsia="宋体" w:cs="宋体"/>
          <w:color w:val="auto"/>
          <w:sz w:val="21"/>
          <w:szCs w:val="21"/>
        </w:rPr>
      </w:pP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2.APP 连接手机蓝牙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2.1 搜索蓝牙连接：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在手表界面往下拉，找到第一个图标“关于(i)”点进去，记住手表的蓝牙名称；然后，手机端打开WearPro APP，点击“设备”栏，点击“搜索绑定设备”开始搜索，在蓝牙列表里，找到对应的手表蓝牙名称并配对，连接成功可见到手表的蓝牙图标为圈内亮起绿色；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2.2扫码连接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下拉后，点击显示的第一个图标“关于(i)”进入，看到有一个连接二维码，再拿出手机打开WearPro，在“设备”一栏，选择“扫码绑定设备”，扫码成功会弹出配对框，点击“配对”即可实现APP连接手表，记得勾选同意各类APP的通知权限；</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3.连接手表的音频/通话蓝牙：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打开手机蓝牙设置，同时在手表主界面右滑，点击出现在下方的电话通话图标，点击“打开”，即可看到音频/通话蓝牙的名称，在手机的蓝牙列表找到此蓝牙名称并绑定即可；音频/通话蓝牙连接后，手表的蓝牙图标显示为外圈亮起蓝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提示：请在此连接基础上，于WearPro设置里打开各类APP通知同步权限，用户即可实现在手表端同步查看各类手机信息；如需实现所有连接功能，务必保证APP及音频蓝牙都需连接好；</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4.解绑APP蓝牙连接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4.1 安卓系统解绑APP蓝牙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直接在WearPro的“设备”栏，下拉到“解除绑定”，点击以解除App端的绑定；</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4.2 IOS系统解绑APP蓝牙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在WearPro的“设备”栏，下拉到“解除绑定”，点击以解除App端的绑定；然后再到手机的蓝牙设置处，选中智能手表的蓝牙名称，点击“忽略此设备”</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解除APP端的蓝牙连接后，此时手表的蓝牙图标的圈内绿色连接解除，圈外蓝色依然亮起；</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5. 解绑音频蓝牙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解除音频蓝牙，于手机蓝牙设置处，找到该音频蓝牙名称，点击“忽视此设备”，即可实现解绑与手表的所有蓝牙连接，所有操作完成后，手表的蓝牙图标恢复为灰白色，无连接。</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6.查找设备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8.数据同步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9.抬手亮屏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10.勿扰模式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11.日常闹钟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12.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13.喝水提醒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15.固件版本</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pStyle w:val="16"/>
        <w:numPr>
          <w:ilvl w:val="0"/>
          <w:numId w:val="0"/>
        </w:numPr>
        <w:spacing w:line="360" w:lineRule="auto"/>
        <w:ind w:left="0" w:right="0" w:firstLine="0"/>
        <w:jc w:val="left"/>
        <w:rPr>
          <w:rFonts w:hint="default"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16.支付宝付款/微信付款二维码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t>手表具备支付功能，需要</w:t>
      </w:r>
      <w:r>
        <w:rPr>
          <w:rFonts w:hint="eastAsia" w:ascii="宋体" w:hAnsi="宋体" w:eastAsia="宋体" w:cs="宋体"/>
          <w:color w:val="000000" w:themeColor="text1"/>
          <w:lang w:val="en-US" w:eastAsia="zh-CN"/>
          <w14:textFill>
            <w14:solidFill>
              <w14:schemeClr w14:val="tx1"/>
            </w14:solidFill>
          </w14:textFill>
        </w:rPr>
        <w:t>通过手机</w:t>
      </w:r>
      <w:r>
        <w:rPr>
          <w:rFonts w:hint="default" w:ascii="宋体" w:hAnsi="宋体" w:eastAsia="宋体" w:cs="宋体"/>
          <w:color w:val="000000" w:themeColor="text1"/>
          <w:lang w:val="en-US" w:eastAsia="zh-CN"/>
          <w14:textFill>
            <w14:solidFill>
              <w14:schemeClr w14:val="tx1"/>
            </w14:solidFill>
          </w14:textFill>
        </w:rPr>
        <w:t>扫码验证绑定。</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t>在手表主界面下拉，点选支付宝</w:t>
      </w:r>
      <w:r>
        <w:rPr>
          <w:rFonts w:hint="eastAsia" w:ascii="宋体" w:hAnsi="宋体" w:eastAsia="宋体" w:cs="宋体"/>
          <w:color w:val="000000" w:themeColor="text1"/>
          <w:lang w:val="en-US" w:eastAsia="zh-CN"/>
          <w14:textFill>
            <w14:solidFill>
              <w14:schemeClr w14:val="tx1"/>
            </w14:solidFill>
          </w14:textFill>
        </w:rPr>
        <w:t>/微信</w:t>
      </w:r>
      <w:r>
        <w:rPr>
          <w:rFonts w:hint="default" w:ascii="宋体" w:hAnsi="宋体" w:eastAsia="宋体" w:cs="宋体"/>
          <w:color w:val="000000" w:themeColor="text1"/>
          <w:lang w:val="en-US" w:eastAsia="zh-CN"/>
          <w14:textFill>
            <w14:solidFill>
              <w14:schemeClr w14:val="tx1"/>
            </w14:solidFill>
          </w14:textFill>
        </w:rPr>
        <w:t>图标，并根据弹出框的指示流程，</w:t>
      </w:r>
      <w:r>
        <w:rPr>
          <w:rFonts w:hint="eastAsia" w:ascii="宋体" w:hAnsi="宋体" w:eastAsia="宋体" w:cs="宋体"/>
          <w:color w:val="000000" w:themeColor="text1"/>
          <w:lang w:val="en-US" w:eastAsia="zh-CN"/>
          <w14:textFill>
            <w14:solidFill>
              <w14:schemeClr w14:val="tx1"/>
            </w14:solidFill>
          </w14:textFill>
        </w:rPr>
        <w:t>配合手机支付宝/微信，</w:t>
      </w:r>
      <w:r>
        <w:rPr>
          <w:rFonts w:hint="default" w:ascii="宋体" w:hAnsi="宋体" w:eastAsia="宋体" w:cs="宋体"/>
          <w:color w:val="000000" w:themeColor="text1"/>
          <w:lang w:val="en-US" w:eastAsia="zh-CN"/>
          <w14:textFill>
            <w14:solidFill>
              <w14:schemeClr w14:val="tx1"/>
            </w14:solidFill>
          </w14:textFill>
        </w:rPr>
        <w:t>完成个人支付宝账号</w:t>
      </w:r>
      <w:r>
        <w:rPr>
          <w:rFonts w:hint="eastAsia" w:ascii="宋体" w:hAnsi="宋体" w:eastAsia="宋体" w:cs="宋体"/>
          <w:color w:val="000000" w:themeColor="text1"/>
          <w:lang w:val="en-US" w:eastAsia="zh-CN"/>
          <w14:textFill>
            <w14:solidFill>
              <w14:schemeClr w14:val="tx1"/>
            </w14:solidFill>
          </w14:textFill>
        </w:rPr>
        <w:t>/微信账号</w:t>
      </w:r>
      <w:r>
        <w:rPr>
          <w:rFonts w:hint="default" w:ascii="宋体" w:hAnsi="宋体" w:eastAsia="宋体" w:cs="宋体"/>
          <w:color w:val="000000" w:themeColor="text1"/>
          <w:lang w:val="en-US" w:eastAsia="zh-CN"/>
          <w14:textFill>
            <w14:solidFill>
              <w14:schemeClr w14:val="tx1"/>
            </w14:solidFill>
          </w14:textFill>
        </w:rPr>
        <w:t>与智能手表支付功能的绑定与使用；</w:t>
      </w:r>
      <w:r>
        <w:rPr>
          <w:rFonts w:hint="eastAsia" w:ascii="宋体" w:hAnsi="宋体" w:eastAsia="宋体" w:cs="宋体"/>
          <w:color w:val="000000" w:themeColor="text1"/>
          <w:lang w:val="en-US" w:eastAsia="zh-CN"/>
          <w14:textFill>
            <w14:solidFill>
              <w14:schemeClr w14:val="tx1"/>
            </w14:solidFill>
          </w14:textFill>
        </w:rPr>
        <w:t>如不使用手表支付，亦可随时解除绑定。</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常见问题于解答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*设备请避免长时间暴露在过冷或过热的极端温度,这可能造成永久性的损坏.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洗澡水的温度比较改,会产生很多的水蒸气,而且水蒸气是气相的,其分子半径小,容易从手表的壳体空隙渗进去,当温度降下来后重新结成液相水滴,容易造成手表内部线路短路,损伤手表电路版,进而损坏手表.</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val="0"/>
          <w:bCs/>
          <w:color w:val="000000" w:themeColor="text1"/>
          <w:sz w:val="24"/>
          <w:szCs w:val="24"/>
          <w:lang w:val="en-US" w:eastAsia="zh-CN"/>
          <w14:textFill>
            <w14:solidFill>
              <w14:schemeClr w14:val="tx1"/>
            </w14:solidFill>
          </w14:textFill>
        </w:rPr>
        <w:t>,插上充电线进行激活使用.</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购买日期:</w:t>
      </w:r>
    </w:p>
    <w:p>
      <w:pPr>
        <w:spacing w:line="0" w:lineRule="atLeast"/>
        <w:rPr>
          <w:rFonts w:hint="eastAsia" w:ascii="宋体" w:hAnsi="宋体" w:eastAsia="宋体" w:cs="宋体"/>
          <w:b/>
          <w:sz w:val="24"/>
          <w:szCs w:val="24"/>
        </w:rPr>
      </w:pPr>
      <w:r>
        <w:rPr>
          <w:rFonts w:hint="eastAsia" w:ascii="宋体" w:hAnsi="宋体" w:eastAsia="宋体" w:cs="宋体"/>
          <w:b/>
          <w:sz w:val="24"/>
          <w:szCs w:val="24"/>
          <w:lang w:val="en-US" w:eastAsia="zh-CN"/>
        </w:rPr>
        <w:t>订单号码</w:t>
      </w:r>
      <w:r>
        <w:rPr>
          <w:rFonts w:hint="eastAsia" w:ascii="宋体" w:hAnsi="宋体" w:eastAsia="宋体" w:cs="宋体"/>
          <w:b/>
          <w:sz w:val="24"/>
          <w:szCs w:val="24"/>
        </w:rPr>
        <w:t>：</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ascii="微软雅黑" w:hAnsi="微软雅黑" w:eastAsia="微软雅黑" w:cs="微软雅黑"/>
          <w:b/>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B319A"/>
    <w:multiLevelType w:val="singleLevel"/>
    <w:tmpl w:val="B57B319A"/>
    <w:lvl w:ilvl="0" w:tentative="0">
      <w:start w:val="1"/>
      <w:numFmt w:val="chineseCounting"/>
      <w:suff w:val="space"/>
      <w:lvlText w:val="%1．"/>
      <w:lvlJc w:val="left"/>
      <w:rPr>
        <w:rFonts w:hint="eastAsia"/>
      </w:rPr>
    </w:lvl>
  </w:abstractNum>
  <w:abstractNum w:abstractNumId="1">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2">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3">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53615ED"/>
    <w:rsid w:val="0C6C4184"/>
    <w:rsid w:val="134A6BA8"/>
    <w:rsid w:val="146F0E31"/>
    <w:rsid w:val="14DD14AA"/>
    <w:rsid w:val="2E801EA7"/>
    <w:rsid w:val="543A57A0"/>
    <w:rsid w:val="637F6955"/>
    <w:rsid w:val="72195F40"/>
    <w:rsid w:val="7FA34A4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2021-08-19T09:12:00Z</dcterms:created>
  <dc:creator>aa</dc:creator>
  <cp:lastModifiedBy>D+T</cp:lastModifiedBy>
  <dcterms:modified xsi:type="dcterms:W3CDTF">2021-11-15T09:54:29Z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10A1036F6C2D4310851BD66C78D7807B</vt:lpwstr>
  </property>
</Properties>
</file>